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12.05.2021 подает кассационную жалобу на судебные акты по делу № А13-20573/2019 с ходатайством о восстановлении срока на обжалование Общество указывает на пропуск срока в связи с корпоративным конфликтом и отсутствием в штате компетентного юриста. Согласно статье 291.2 Арбитражного процессуального кодекса Российской Федерации (далее – Кодекс) срок на подачу кассационной жалобы исчисляется двумя месяцами со дня вступления в силу последнего обжалуемого судебного акта и может быть восстановлен при пропуске его по независящим от заявителя причине. Названные обществом причины несвоевременной подачи жалобы не создают основания для восстановления срока из-за отсутствия у них объективного характера. В связи с подачей документов в электронном виде кассационная жалоба и уплаченная за ее подачу государственная пошлина настоящим определением не возвращаются. 2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«Техноресурс» в восстановлении срока подачи кассационной жалобы на решение Арбитражного суда Вологодской области от 07.08.2020 по делу № А13-20573/2019, постановление Четырнадцатого арбитражного апелляционного суда от 10.12.2020 и постановление Арбитражного суда Северо-Западного округа от 11.03.2021 по тому же делу. Кассационную жалобу общества с ограниченной ответственностью «Техноресурс»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