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«Лискинская инвестиционно- строительная компания «Бройлер» обратилось в Арбитражный суд города Москвы с иском о взыскании с общества с ограниченной ответственностью «НВЦ Агроветзащита С-П» 1 249 317 рублей 13 копеек неосновательного обогащения и 210 064 рублей 11 копеек процентов за пользование чужими денежными средствами за период с 23.03.2017 по 26.03.2020. Решением Арбитражного суда города Москвы от 16.07.2020 в удовлетворении иска отказано. Постановлением Девятого арбитражного апелляционного суда от 26.11.2020 произведена замена в порядке процессуального правопреемства истца – общества с ограниченной ответственностью ООО «Лискинская инвестиционно-строительная компания «Бройлер» на акционерное общество «Куриное царство», решение суда первой инстанции отменено и иск удовлетворен. Арбитражный суд Московского округа постановлением от 04.02.2021 постановление суда апелляционной инстанции отменил, за исключением 2 вывода о процессуальном правопреемстве, оставив в силе решение суда первой инстанции. Акционерное общество «Куриное царство» обратилось в Судебную коллегию по экономическим спорам Верховного Суда Российской Федерации с кассационной жалобой на решение суда первой инстанции и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Оставляя в силе решение суда первой инстанции, окружной суд исходил из установленных судами фактических обстоятельств и руководствовался положениями статьи 1102 Гражданского кодекса Российской Федерации, статей 143, 146, 171, 172 Налогового кодекса Российской Федерации, пунктом 21 постановления Пленума Высшего Арбитражного Суда Российской Федерации от 30.05.2014 № 33 «О некоторых вопросах, возникающих у арбитражных судов при рассмотрении дел, связанных с взиманием налога на добавленную стоимость».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«Куриное царство»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