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Шадрин Александр Владиславович обратился в суд с заявлением об установлении процентов по вознаграждению конкурсного управляющего в размере 202 965 506 рублей 74 копеек. Определением Арбитражного суда Ростовской области от 21.09.2020, оставленным без изменения постановлениями Пятнадцатого арбитражного апелляционного суда от 12.11.2020 и Арбитражного суда Северо-Кавказского округа от 22.01.2021, заявление удовлетворено. В кассационной жалобе, поданной в Верховный Суд Российской Федерации, заявитель, приводя доводы по существу обособленного спора, просит отменить указанные судебные акты и отказать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по существу, суды, руководствуясь положениями пункта 13 статьи 20.6 Федерального закона от 26.10.2002 № 127-ФЗ «О несостоятельности (банкротстве)», проверив расчёт размера вознаграждения, пришли к выводу об обоснованности заявления и наличии оснований для удовлетворения требований в указанном размере, признав отсутствие оснований для снижения размеров вознаграждения.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«Ломпром Шахты»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