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15.07.2020, оставленным без изменения постановлением Десятого арбитражного апелляционного суда от 08.10.2020, первоначальный и встречный иск удовлетворены частично, акт внеплановой комплексной проверки и требование признаны недействительными в части выводов о нецелевом использовании средств ОМС в общей сумме 5 114 578, 08 рублей и соответствующей суммы штрафа в размере 511 457, 81 рублей; с общества с пользу фонда взысканы средства, использованные не по целевому назначению, в сумме 641 000 рублей, соответствующая сумма штрафа в размере 64 100 рублей, пени в сумме 20 095,35 рублей за период с 31.01.2020 по 15.07.2020 и пени в размере одной трехсотой ставки рефинансирования Центрального банка Российской Федерации, действующей на день предъявления санкции, начисленные на сумму 641 000 рублей, за каждый день просрочки за период с 16.07.2020 по день фактической уплаты. Постановлением Арбитражного суда Московского округа от 25.01.2021 указанные судебные акты оставлены без изменения. В кассационной жалобе, поступившей в Верховный Суд Российской Федерации, фонд просит отменить обжалуемые судебные акты в части отказа в иске, считая их незаконными и необоснованными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Градостроительного кодекса Российской Федерации, Правил обязательного медицинского страхования, утвержденных приказом Минздрава России от 28.02.2019 № 108н, суды удовлетворили первоначальный иск частично, отказав в удовлетворении 3 встречного иска в указанной части, признав недоказанным факт нецелевого использования медицинской организацией средств обязательного медицинского страхования в спорном размере по расходам на лизинг медицинского оборудования и текущий ремонт помещений.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характером произведенных ремонтных работ и объемом оказываемых медицинских услуг.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