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14.10.2020, оставленным без изменения постановлением Девятого арбитражного апелляционного суда от 14.12.2020, в удовлетворении заявления отказано. 2 Постановлением Арбитражного суда Московского округа от 24.02.2021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представленные доказательства, суды пришли к выводу о наличии оснований для прекращения производства по делу об административном правонарушении в отношении общества «Подольский завод электромонтажных изделий» в связи с исполнением им предписания. Оснований не согласиться с указанными выводами судов с учетом доводов жалобы и правовой позиции, изложенной в пункте 19.2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не имеется. При этом по смыслу положений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деятельности, а также защита охраняемых законом публичных интересов. Таких оснований в жалобе не приведено. Вопрос наличия (отсутствия) оснований для возмещения вреда в любом случае не может быть рассмотрен в рамках настоящего спора. 3 С учетом изложенного, в данном конкретном случае приведенные заявителем доводы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