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22.06.2020, оставленным без изменения постановлениями Тринадцатого арбитражного апелляционного суда от 24.09.2020 и Арбитражного суда Северо-Западного округа от 04.02.2021, первоначальный иск удовлетворен, в удовлетворении встречного иска отказано. В кассационной жалобе, поданной в Верховный Суд Российской Федерации, предприниматель ставит вопрос об отмене принятых по делу судебных актов,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между учреждением (заказчиком) и предпринимателем (исполнителем) заключен государственный контракт от 03.04.2019 на оказание услуг трансляции информационных аудиороликов в Санкт-Петербургском метрополитене в 2019 году. В обоснование исковых требований учреждение указало на то, что в период с 13.05.2019 по 16.05.2019 предпринимателем обязательства по контракту не исполнены, в связи с чем начислен штраф в размере 57 737 рублей 16 копеек, и принято решение об удержании части неустойки (штрафа) в размере обеспечения контракта в сумме 51 963 рублей 39 копеек. Встречные исковые требования мотивированны тем, что за нарушение срока оказания услуг подлежат начислению пени в сумме 1 118 рублей 66 копеек за период с 14.05.2019 по 22.05.2019 на основании пункта 5.3 контракта и однократный штраф в размере 14 434 рублей 29 копеек на основании пункта 5.4 контракта, в связи с чем, по мнению предпринимателя, из обеспечительного платежа подлежала удержанию сумма в размере 15 552 рублей 95 копеек. Оценив представленные в материалы дела доказательства, суды, руководствуясь положениями статей 309, 310, 329, 330, 779, 781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наличии оснований для возложения на ответчика гражданско-правовой ответственности в виде выплаты штрафа на основании пункта 5.4 контракта. При этом судебные инстанции исходили из того, что условиями контракта согласовано применение штрафа за каждое нарушение исполнения обязательства.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не опровергают выводы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Существенных нарушений норм процессуального права, являющихся безусловным основанием для отмены судебных актов, как это предусмотрено частью 4 статьи 288 Арбитражного процессуального кодекса, судами не допущено.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Мальковской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