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22.11.2019 первоначальные исковые требования удовлетворены частично, с компании в пользу общества взыскано 778 400 руб. 14 коп. задолженности, 108 323 руб. 52 коп. неустойки, в удовлетворении остальной части требований отказано; встречные исковые требования удовлетворены; произведен зачет удовлетворенных требований. 2 Постановлением Десятого арбитражного апелляционного суда от 14.08.2020 решение суда первой инстанции отменено, с компании в пользу общества взыскано 938 400 руб. 14 коп. задолженности, 172 461 руб. 34 коп. пеней, в удовлетворении встречных исковых требований отказано. Постановлением Арбитражного суда Московского округа от 20.01.2021 постановление суда апелляционной инстанции оставлено без изменения. В кассационной жалобе, поданной в Верховный Суд Российской Федерации, компания, ссылаясь на нарушение судами апелляционной инстанции и округа норм материального и процессуального права, просит отменить постановления от 14.08.2020, от 20.01.2021.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общество (арендодатель), ссылаясь на ненадлежащее исполнение компанией (арендатор) обязательств по внесению арендной платы по договору от 16.02.2015 № 6-А/15 аренды транспортного средства без экипажа (далее – договор), обратилось в арбитражный суд с настоящим иском. Встречный иск мотивирован тем, что в связи с уклонением общества от принятия второго транспортного средства у компании возникли убытки в виде расходов на предоставление площадки для размещения транспортного средства и обеспечения его сохранности, а также стоимости оставшегося в автомобиле дизельного топлива. Повторно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договор прекратил действие с 01.01.2018; компанией в период с 01.01.2017 по 31.12.2017 обязательства по внесению арендных платежей в полном объеме не исполнены; спорная задолженность не погашена зачетом встречных однородных требований по уведомлению компании; факт уклонения общества от получения второго транспортного средства и нахождения в нем дизельного топлива на момент возвращения не подтвержден, руководствуясь статьями 309, 310, 329, 330, 393, 610, 614, 622, 642, 646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3 за нарушение обязательств», суд апелляционной инстанции пришел к выводу о наличии оснований для удовлетворения первоначальных исковых требований и отказа в удовлетворении встречного иска. Суд округа поддержал выводы апелляционного суда.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«А/К «Северо-Запад»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