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31.08.2020, оставленным без изменения постановлением Девятого арбитражного апелляционного суда от 17.11.2020 и постановлением Арбитражного суда Московского округа от 19.02.2021, в удовлетворении иска отказано. В кассационной жалобе институт просит о пересмотре судебных актов, ссылаясь на принятие ответчиком акта выполненных работ без возражений, влекущее обязанность оплаты работ.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исполнение ответчиком обязанности по оплате выполненных в рамках договора от 01.09.2015 № 51618734606202418006851/010915/15-098 работ и отсутствие законных условий (статьи 450, 451 Гражданского кодекса Российской Федерации) для принудительного изменения договора после его исполнения.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«18 Центральный научно-исследовательский институт» Министерства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