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Забайкальского края от 28.07.2020, оставленным без изменения постановлением Четвертого арбитражного апелляционного суда от 05.11.2020 и постановлением Арбитражного суда Восточно-Сибирского округа от 16.02.2021, с общества в пользу компании взыскано 10 000 000 руб. неустойки, в удовлетворении остальной части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Забайкальского края.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договора подряда от 15.03.2019 № 16-ЗБК-2016/ТП, руководствуясь статьями 8, 309, 310, 330, 331, 740 753 Гражданского кодекса Российской Федерации, разъяснениями, изложенными в постановлении Пленума Высшего Арбитражного Суда Российской Федерации от 22.12.2011 № 81 «О некоторых вопросах применения статьи 333 Гражданского кодекса Российской Федерации»,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установив факт нарушения обществом срока выполнения работ по договору, суды первой и апелляционной инстанций пришли к выводу о наличии оснований для взыскания с общества неустойки, снизив ее размер по ходатайству последнего в соответствии со статьей 333 Гражданского кодекса Российской Федерации. Суд округа согласился с выводами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«ЭнергоГид-Центр»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