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20.07.2020, оставленным без изменения постановлением Шестого арбитражного апелляционного суда от 09.11.2020 и постановлением Арбитражного суда Дальневосточного округа от 09.03.2021, исковые требования к обществу «Карго Линк» удовлетворены, требование к предпринимателю Вахрисламову Э.В. оставлено без рассмотрения в связи с несоблюдением досудебного порядка урегулирования спора. В кассационной жалобе общество «Карго Линк» просит об отмене судебных актов, указывая, что является ненадлежащим ответчиком.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удовлетворили иск за счет общества «Карго Линк» в силу статей 801, 803, 805 Гражданского кодекса Российской Федерации как лица, выдавшего экспедиторскую расписку от 25.05.2018 № 2199, при перевозке в рамках которой произошла утрата груза.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«Карго Линк»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