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22.06.2020, оставленным без изменения постановлением Тринадцатого арбитражного апелляционного суда от 25.09.2020 и постановлением Арбитражного суда Северо-Западного округа от 18.01.2021, иск удовлетворен. В кассационной жалобе предприниматель просит об отмене судебных актов, ссылаясь на неосновательное ограничение права на отказ от договора и 2 несоответствие выводов судов об исполнении договора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предпринимателя на отказ от договора признано судами обусловленным соответствующими примененными последствиями (пункт 2 статьи 782 Гражданского кодекса Российской Федерации). Оспаривание оценки обстоятельств исполнения договора не отвечает критериям для кассационного пересмотра судебных актов. Заявление об уменьшении неустойки не обсуждалось как сделанное в неположенный срок.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Сопову Игорю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