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01.06.2020, оставленным без изменения постановлением Первого арбитражного апелляционного суда от 24.08.2020, взыскано 20 300 рублей компенсационной выплаты, 190 рублей расходов на направление заявления о компенсационной выплате, 284 рубля 20 копеек неустойки за период с 17.10.2019 по 14.11.2019, неустойки на сумму компенсационной выплаты за период с 15.11.2019 по день фактического исполнения обязательства исходя из ставки 0,05% в день от суммы неисполненного обязательства за каждый день просрочки платежа, 1 000 рублей расходов на юридические услуги, 570 рублей почтовых расходов. Арбитражный суд Волго-Вятского округа постановлением от 29.01.2021 решение от 01.06.2020 и постановление Первого арбитражного апелляционного суда от 24.08.2020 оставил без изменения. 2 В кассационной жалобе Российский союз автостраховщиков просит об отмене судебных актов, ссылаясь на отсутствие у истца права на получение компенсационной выплаты и производного от него права на неустойку.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Истцу перешли права выгодоприобретателя на выплату в рамках договора обязательного страхования по сделке, предусматривающей перемену лица в обязательстве. В силу пункта 2.1 статьи 18 Федерального закона от 25.04.2002 № 40-ФЗ «Об обязательном страховании гражданской ответственности владельцев транспортных средств» выгодоприобретатели отнесены к лицам, имеющим право на получение компенсационных выплат. Установление обстоятельств, влияющих на размер неустойки, является компетенцией судов, рассматривающих дело по правилам для суда первой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