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бывший финансовый управляющий имуществом должника Шаврин А.П. обратился в суд с заявлением об установлении и выплате ему 25 000 рублей фиксированного вознаграждения за процедуру; 12 204 862 рублей 88 копеек процентного вознаграждения, рассчитанного от суммы, полученной в рамках взыскания дебиторской задолженности с общества с ограниченной ответственностью «Группа компаний Радуга»; 417 995 рублей 43 копеек процентного вознаграждения, рассчитанного от суммы, полученной в результате оспаривания сделок должника; 687 797 рублей 73 копеек компенсации расходов, понесенных по делу. Определением Арбитражного суда Свердловской области от 04.09.2020, оставленным без изменения постановлениями Семнадцатого арбитражного апелляционного суда от 14.11.2020 и Арбитражного суда Уральского округа от 02.02.2021, заявление удовлетворено в части взыскания с должника в пользу заявителя 122 512 рублей 81 копейки в возмещение понесённых расходов.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и принять по делу новый судебный акт об удовлетворении заявленных требований в полном объёме.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20.6, 59, 213.9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РФ от 25.12.2013 № 97 «О некоторых вопросах, связанных с вознаграждением арбитражного управляющего при банкротстве», и исходили из того, что установление и взыскание фиксированного вознаграждения в пользу заявителя преждевременны и подлежат разрешению после завершения процедуры реализации имущества и расчётов с кредиторами, одновременно не усмотрев оснований для установления ему процентов по вознаграждению ввиду отсутствия причинно-следственной связи между исполнением возложенных на него обязанностей и пополнением конкурсной массы, а также взыскания части необоснованно понесённых по делу расходов.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Шаврину Андрею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