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23.07.2020, оставленным без изменения постановлением Семнадцатого арбитражного апелляционного суда от 22.10.2020 и постановлением Арбитражного суда Уральского округа от 19.01.2021, с общества в пользу компании взыскано 110 822 руб. 49 коп. неустойки, 132 986 руб. 99 коп. процентов за пользование коммерческим кредитом, 314 руб. 54 коп. почтовых расходов,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права, 2 просит изменить указанные судебные акты в части взыскания процентов за пользование коммерческим кредитом и отказать в удовлетворении данного требования.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предусмотренная условиями договора отсрочка уплаты за товар (на 21 день) рассматривается сторонами как предоставление коммерческого кредита; сторонами достигнуто соглашение о плате за коммерческий кредит, исчисляемой с первого дня, следующего за днем, в который должна быть осуществлена оплата за товар, до дня полной оплаты товара обществом. Установив факт просрочки оплаты товара, проверив и признав верным представленный компанией расчет процентов за пользование коммерческим кредитом, руководствуясь статьями 809, 823 Гражданского кодекса Российской Федерации, разъяснениями, изложенными в постановлении Пленума Верховного Суда Российской Федерации и Пленума Высшего Арбитражного Суда Российской Федерации от 08.10.1998 № 13/14 «О практике применения положений Гражданского кодекса Российской Федерации о процентах за пользование чужими денежными средствами», суды пришли к выводу о наличии оснований для удовлетворения соответствующего требования, с чем впоследствии согласился суд округа. Доводы заявителя о двойной ответственности были предметом рассмотрения судов и получили правовую оценку.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«Строймонтаж-Екатеринбург»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