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05.10.2020, оставленным без изменения постановлением Одиннадцатого арбитражного апелляционного суда от 17.12.2020 и постановлением Арбитражного суда Поволжского округа от 02.03.2021, исковые требования удовлетворены частично. В кассационной жалобе мехколонна просит о пересмотре судебных актов, ссылаясь на неполучение товара и рассмотрение дела в первой инстанции в ее отсутствие несмотря на поданное ходатайство об отложении.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333, 486, 506, 516 Гражданского кодекса Российской Федерации, суды удовлетворили иск по установленным фактам поставки истцом (продавцом) товара в рамках договора купли-продажи нефтепродуктов от 26.04.2016 и неполной оплаты его ответчиком (покупателем). Довод о непередаче товара опровергнут установленными судами обстоятельствами. Рассмотрение дела в отсутствие извещенного лица не является нарушением и не влияет на судьбу судебных актов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«Иссинская дорожно-передвижная механизированная колонна»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