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03.07.2020, оставленным без изменения постановлением Первого арбитражного апелляционного суда от 19.10.2020, взыскано 67 601 рубль 60 копеек компенсационной выплаты, 3 380 рублей 08 копеек неустойки с 12.09.2019 по 23.12.2019, неустойки на сумму компенсационной выплаты с 23.06.2020 по день фактической оплаты из расчета 1% за каждый день просрочки, но не более лимита, установленного законодательством об ОСАГО, 12 100 рублей расходов на оценку и 2 000 рублей расходов на юридические услуги. 2 Арбитражный суд Волго-Вятского округа постановлением от 28.01.2021 решение от 03.07.2020 и постановление Первого арбитражного апелляционного суда от 19.10.2020 оставил без изменения. В кассационной жалобе Российский союз автостраховщиков просит об отмене судебных актов, ссылаясь на отсутствие у истца права на получение компенсационной выплаты и производного от него права на неустойку,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на выплату в рамках договора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Предъявление правомерных требований не может рассматриваться в качестве злоупотребления правом. Установление обстоятельств, влияющих на размер неустойки, является компетенцией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