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05.06.2020, оставленным без изменения постановлением Девятого арбитражного апелляционного суда от 29.09.2020 и постановлением Арбитражного суда Московского округа от 02.02.2021, иск удовлетворен частично. В кассационной жалобе общество просит отменить судебные акты, ссылаясь на отсутствие двусторонних документов о сдаче-приемке услуг и взыскание предоставленной исполнителем скидки.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уступленная истцу третьим лицом задолженность основана на двусторонних универсальных передаточных документах и актах оказания услуг, не подписанных ответчиком в отсутствие мотивации, поэтому взыскали стоимость услуг, признанных оказанными в силу статей 779, 781, 783 Гражданского кодекса Российской Федерации. Оспаривание выводов судов, основанных на доказательствах, не отвечает критериям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«Стоунхедж»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