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Краснодарского края, рассмотрев дело в порядке упрощенного производства, решением от 29.07.2019 взыскал с общества в пользу предпринимателя 100 852 руб. 11 коп. неустойки и отказал в удовлетворении исковых требований в остальной части. Пятнадцатый арбитражный апелляционный суд определением от 11.10.2019 перешел к рассмотрению дела по правилам суда первой инстанции. Постановлением Пятнадцатого арбитражного апелляционного суда от 17.11.2019 решение суда первой инстанции отменено, принят отказ 2 предпринимателя от исковых требований в части взыскания штрафа в размере 100 852 руб. 11 коп., производство по делу в указанной части прекращено; с общества в пользу предпринимателя взыскано 201 704 руб. 22 коп. неустойки, а также 100 руб. почтовых расходов. Постановлением Арбитражного суда Северо-Кавказского округа от 13.03.2020 постановление суда апелляционной инстанции отменено, дело направлено на новое рассмотрение в Пятнадцатый арбитражный апелляционный суд. При новом рассмотрении дела постановлением Пятнадцатого арбитражного апелляционного суда от 20.11.2020 решение суда первой инстанции отменено, принят отказ предпринимателя от исковых требований в части взыскания штрафа в размере 100 852 руб. 11 коп., производство по делу в указанной части прекращено; в удовлетворении исковых требований отказано. Постановлением Арбитражного суда Северо-Кавказского округа от 18.02.2021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апелляционной инстанции и округа норм права, просит отменить постановления от 20.11.2020, от 18.02.2021 и направить дело на новое рассмотрение в Пятнадцатый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решением суда общей юрисдикции, руководствуясь статьями 309, 310, 382, 384, 388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 апелляционной инстанции пришел к выводу о необоснованности иска, исходя из отсутствия вины ответчика в просрочке передачи объекта долевого строительства. С указанными выводами впоследствии согласился суд округа. 3 Доводы кассационной жалобы не опровергают выводы судов, не свидетельствуют о существенных нарушениях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Климичкина Тимофея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