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03.08.2020, оставленным без изменения постановлениями Семнадцатого арбитражного апелляционного суда от 03.11.2020 и Арбитражного суда Уральского округа от 10.02.2021, исковые требования удовлетворены частично, с предпринимателя в пользу общества взысканы задолженность в сумме 799 995 рублей, штраф в размере 75 003 рублей, неустойка в сумме 53 802 рублей 29 копеек. В удовлетворении остальной части иска отказано. В кассационной жалобе, поданной в Верховный Суд Российской Федерации, общество ставит вопрос об отмене принятых по делу судебных актов в части отказа в удовлетворении исковых требований о взыскании 2 убытков,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обществом и Управлением делами Губернатора Свердловской области и Правительства Свердловской области заключен государственный контракт от 26.03.2019 на поставку сувенирной продукции. Кроме того, между обществом и предпринимателем для исполнения государственного контракта заключены договора №№ 001/12.03.2019, 002/12.03.2019, 003/12.03.2019 на изготовление и поставку сувенирной продукции. Нарушение предпринимателем обязательств по поставке сувенирной продукции послужило основанием для обращения общества в арбитражный суд. Оценив представленные в материалы дела доказательства, суды, руководствуясь положениями статей 15, 393, 312, 330, 454, 456, 458, 506, 513 Гражданского кодекса Российской Федерации, правовой позицией, изложенной в пунктах 12, 14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пункте 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ненадлежащее исполнение предпринимателем обязательств, предусмотренных договорами, пришли к выводу о наличии оснований для взыскания с ответчика задолженности, неустойки и штрафа. При этом суды не усмотрели оснований для возложения на предпринимателя гражданско-правовой ответственности в виде возмещения убытков в размере 611 251 рубля 77 копеек, из которых: 484 965 рублей 54 копейки в форме упущенной выгоды (выгода от реализации государственного контракта) и в форме реального ущерба, причиненного истцу, выплатой 3 11 411 рублей 41 копейки и 114 874 рублей 82 копеек штрафных санкций по государственному контракту. Судебные инстанции исходили из отсутствия доказательств, подтверждающих, что ненадлежащее исполнение предпринимателем обязательств по поставке сувенирной продукции явилось единственной причиной, лишившей общество возможности получить прибыль. Кроме того, суды указали, что уплаченные обществом штрафные санкции не могут быть признаны убытками, поскольку предприниматель не несет ответственность за действия истца по государственному контракту.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изложенного,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«Альянсинвест»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