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26.06.2020, оставленным без изменения постановлением Семнадцатого арбитражного апелляционного суда от 23.09.2020, исковые требования удовлетворены. Арбитражный суд Уральского округа постановлением от 18.01.2021 решение от 26.06.2020 и постановление Семнадцатого арбитражного апелляционного суда от 23.09.2020 оставил без изменения. 2 В кассационной жалобе Российский союз автостраховщиков просит об отмене судебных актов, ссылаясь на отсутствие права на получение компенсационной выплаты и производного от него право на неустойку, злоупотребление истца.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Истцу перешли права выгодоприобретателя на выплату в рамках договора обязательного страхования по сделке, предусматривающей перемену лица в обязательстве. В силу пункта 2.1 статьи 18 Федерального закона от 25.04.2002 № 40-ФЗ «Об обязательном страховании гражданской ответственности владельцев транспортных средств» выгодоприобретатели отнесены к лицам, имеющим право на получение компенсационных выплат. Предъявление правомерных требований не может рассматриваться в качестве злоупотребления правом. Установление обстоятельств, влияющих на размер неустойки, является компетенцией судов, рассматривающих дело по правилам для суда первой инстанции.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Российскому союзу автостраховщиков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