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28.07.2020, оставленным без изменения постановлением Одиннадцатого арбитражного апелляционного суда от 22.10.2020, в удовлетворении иска отказано. Арбитражный суд Поволжского округа постановлением от 18.01.2021 решение от 28.07.2020 и постановление Одиннадцатого арбитражного апелляционного суда от 22.10.2020 оставил без изменения. В кассационной жалобе общество «Форт авто» просит об отмене судебных актов, ссылаясь на неправильное применение закона к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Сбербанк исполнил надлежащее распоряжение истца о переводе остатка денежных средств в связи с расторжением договора, сделанное после предъявления иска в суде, следовательно, права истца восстановлены. В отношении ранее совершенных распоряжений действия Сбербанка соответствовали критериям, установленным Федеральным законом от 07.08.2001 № 115-ФЗ «О противодействии легализации (отмыванию) доходов, полученных преступным путем, и финансированию терроризма», нормативным актам Банка России, правилам внутреннего контроля Сбербанка.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«Форт 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