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основного долга и процентов за пользование чужими денежными средствами в совокупном размере 3 579 959 рублей 72 копеек. Определением Арбитражного суда Хабаровского края от 18.08.2020, оставленным без изменения постановлениями Шестого арбитражного апелляционного суда от 06.11.2020 и Арбитражного суда Дальневосточного округа от 22.01.2021,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195, 196, 200 Гражданского кодекса Российской Федерации, статьями 71, 100, 142 Федерального закона от 26.10.2002 № 127-ФЗ «О несостоятельности (банкротстве)» и исходили из пропуска обществом срока исковой давности по предъявленному требованию в отсутствии доказательств его прерывания и принятия мер по взысканию долга, в связи с чем отказали во включении 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«Элитстрой» Янову Тимофею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