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решением от 29.07.2020 иск удовлетворен. Семнадцатый арбитражный апелляционный суд постановлением от 18.11.2020 изменил решение от 29.07.2020 и взыскал 25 570 рублей компенсационной выплаты. Арбитражный суд Уральского округа постановлением от 26.01.2021 постановление Семнадцатого арбитражного апелляционного суда от 18.11.2020 оставил без изменения. В кассационной жалобе Российский союз автостраховщиков просит об отмене судебных актов, ссылаясь на отсутствие у истца права на получение компенсационной выплаты и производного права на неустойку, злоупотребление истца.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Истцу перешли права выгодоприобретателя на получение выплаты в рамках договора обязательного страхования по сделке, предусматривающей перемену лица в обязательстве. В силу пункта 2.1 статьи 18 Федерального закона от 25.04.2002 № 40-ФЗ «Об обязательном страховании гражданской ответственности владельцев транспортных средств» выгодоприобретатели отнесены к лицам, имеющим право на получение компенсационных выплат. Предъявление истцом правомерных требований не может рассматриваться в качестве злоупотребления правом.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