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Михалевич И.Ф. обратился в суд с жалобой на действия (бездействие) конкурсного управляющего должником Колесник Дианы, а также ходатайством об отстранении её от исполнения обязанностей конкурсного управляющего должником. Определением Арбитражного суда города Москвы от 16.09.2020, оставленным без изменения постановлениями Девятого арбитражного апелляционного суда от 10.12.2020 и Арбитражного суда Московского округа от 24.02.2021, в удовлетворении заявленных требований отказано. В кассационной жалобе, поданной в Верховный Суд Российской Федерации, заявитель просит полностью отменить названные судебные акты и направить дело на новое рассмотрение в Арбитражный суда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20.3, 60, 67, 145 Федерального закона от 26.10.2002 № 127-ФЗ «О несостоятельности (банкротстве)» и исходили из отсутствия доказательств нарушения конкурсным управляющим требований законодательства о банкротстве, прав и охраняемых законом интересов кредиторов, должника и заявителя (бывшего генерального директора должника), а также отстранения от исполнения возложенных на неё обязанностей. Выводы судов соответствуют нормам права, оснований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Михалевичу Игорю Феодосьевичу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