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требования Ефимова Евгения Владимировича (далее – кредитор) подлежащим удовлетворению в очерёдности, предшествующей распределению ликвидационной квоты. Определением Арбитражного суда Новосибирской области от 19.10.2020, оставленным без изменения постановлениями Седьмого арбитражного апелляционного суда от 08.12.2020 и Арбитражного суда Западно-Сибирского округа от 18.03.2021,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понижении очерёдности удовлетворения требования кредитора, суды руководствовались статьями 71, 100, 142, 148 Федерального закона от 26.10.2002 № 127-ФЗ «О несостоятельности (банкротстве)» и исходили из отсутствия таких оснований.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«ПСК-Новосибирск»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