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22.07.2020, оставленным без изменения постановлением Девятого арбитражного апелляционного суда от 13.10.2020 и постановлением Арбитражного суда Московского округа от 22.01.2021, с общества в пользу компании взыскано 300 000 руб. неосновательного обогащения, 3082 руб. 19 коп. процентов за пользование чужими денежными средствами,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2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компанией в пользу общества предоплаты по договору строительного подряда, расторжения названного договора ввиду одностороннего отказа компании от его исполнения в связи с существенным нарушением обществом условий договора, отсутствие доказательств выполнения и сдачи обществом результата работ по договору в предусмотренном порядке, возврата им спорной суммы компании, руководствуясь статьями 309, 310, 395, 450, 450.1, 702, 708, 715, 1102, 1107 Гражданского кодекса Российской Федерации, суды первой и апелляционной инстанций пришли к выводу о наличии оснований для взыскания с общества неосновательного обогащения и процентов за пользование чужими денежными средствами, с чем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«САРУП ТРАНССТРОЙ»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