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22.07.2020, оставленным без изменения постановлением Одиннадцатого арбитражного апелляционного суда от 28.10.2020, взыскано 158 400 рублей компенсационной выплаты, 4 000 рублей расходов на эвакуацию, 5 702 рубля 40 копеек неустойки, неустойки в размере 0,1% от суммы взысканной компенсационной выплаты за каждый день просрочки с 14.12.2019 по день фактического исполнения обязательства. Арбитражный суд Поволжского округа постановлением от 25.01.2021 решение от 22.07.2020 и постановление Одиннадцатого арбитражного апелляционного суда от 28.10.2020 оставил без изменения. 2 В кассационной жалобе Российской союз автострахощиков просит об отмене судебных актов, ссылаясь на отсутствие у истца права на получение компенсационной выплаты и производного права на неустойку и злоупотребление истца.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Истцу перешли права выгодоприобретателя на получение выплаты в рамках договора обязательного страхования по сделке, предусматривающей перемену лица в обязательстве. В силу пункта 2.1 статьи 18 Федерального закона от 25.04.2002 № 40-ФЗ «Об обязательном страховании гражданской ответственности владельцев транспортных средств» выгодоприобретатели отнесены к лицам, имеющим право на получение компенсационных выплат. Предъявление правомерных требований не может рассматриваться в качестве злоупотребления правом. Установление обстоятельств, влияющих на размер неустойки, является компетенцией судов.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