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Макарова И.Н. обратилась в суд с заявлением о включении в реестр требований кредиторов должника (далее – реестр) её требования в размере 5 663 541 рублей. Определением Арбитражного суда Самарской области от 20.07.2020, оставленным без изменения постановлениями Одиннадцатого арбитражного апелляционного суда от 05.10.2020 и суда Поволжского округа от 18.01.2021,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10, 807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ввиду установленных обстоятельств, свидетельствующих о фиктивном характере задолженности перед аффилированным заявителем, недоказанности наличия у последней финансовой возможности предоставления займа должнику, а также его фактического расходования, не усмотрели оснований для признания заявленного требования обоснованным и подлежащим включению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Макаровой Ирине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