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Орловской области от 28.07.2020 исковые требования удовлетворены частично. Постановлением Девятнадцатого арбитражного апелляционного суда от 02.11.2020, оставленным без изменения постановлением Арбитражного суда Центрального округа от 02.02.2021, решение частично отменено: в удовлетворении требования о взыскания процентов за пользование коммерческим кредитом отказано. В кассационной жалобе общество «ТД АМИК» просит об отмене судебных актов апелляционного и окружного судов вследствие отсутствия доказательств притворности договорного условия о процентах за пользование коммерческим кредитом.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Апелляционный суд установил, что ответчик допустил просрочку оплаты товара, за которую договором предусмотрены заявленные истцом и взысканные судом первой инстанции пени. В указанной ситуации взыскание заявленных за тот же период договорных процентов, предусмотренных договором в качестве платы за пользование коммерческим кредитом, апелляционный суд признал недопустимым в силу статей 170, 330, 431, 454, 809, 823 Гражданского кодекса Российской Федерации. Ошибочность довода о правовой природе спорных процентов и соотношении их с неустойкой следует из закона и договора и мотивирована судами.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«ТД АМИК»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