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01.06.2020, оставленным без изменения постановлением Семнадцатого арбитражного апелляционного суда от 09.09.2020, иск удовлетворен. Арбитражный суд Уральского округа постановлением от 01.02.2021 решение от 01.06.2020 и постановление Семнадцатого арбитражного апелляционного суда от 09.09.2020 оставил без изменения. В кассационной жалобе банк просит об отмене судебных актов, ссылаясь на неисследование его доводов о характере операций.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Исследовав и оценив представленные сторонами доказательства и руководствуясь статьями 845, 848, 849, 858 Гражданского кодекса Российской Федерации, нормами Федерального закона от 07.08.2001 № 115-ФЗ «О противодействии легализации (отмыванию) доходов, полученных преступным путем, и финансированию терроризма», суды установили отсутствие основания для одностороннего расторжения банком договора. Суды сочли возражения банка против иска не доказанными (статья 65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«Уральский банк реконструкции и развития»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