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на общую сумму 46 009 612 рублей 94 копеек, из которых 42 180 175 рублей 07 копеек как подлежащих погашению за счёт средств, поступивших от реализации предмета залога в реестр. Определением Арбитражного суда города Москвы от 02.09.2020, оставленным без изменения постановлениями Девятого арбитражного апелляционного суда от 23.11.2020 и Арбитражного суда Московского округа от 15.02.2021, требования в размере 24 245 455 рублей 23 копеек – долга, 4 083 675 рублей 75 копеек – пени, 2 236 970 рублей 22 копеек – долга (взносы на капитальный ремонт) признаны подлежащими удовлетворению в очерёдности, предшествующей распределению ликвидационной квоты должника, в удовлетворении остальной части требований было отказано. В признании требований кредитора в размере 34 664 500 рублей 32 копеек – долга и 7 515 674 рублей 75 копеек, подлежащими погашению за счёт средств, поступивших от реализации предмета залога, также было отказано. В кассационной жалобе, поданной в Верховный Суд Российской Федерации, заявитель просит отменить названные судебные акты в части 2 понижения очерёдности удовлетворения его требования и принять в данной части новый судебный акт о включении этого требования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понижая очерёдность удовлетворения требования общества, суды руководствовались статьями 71, 100, 142, 148 Федерального закона от 26.10.2002 № 127-ФЗ «О несостоятельности (банкротстве)» и установили, что оно имело признаки компенсационного финансирования, предоставленного должнику в состоянии имущественного кризиса и невостребованного в разумный срок, следовательно, не может конкурировать требованиям иных (независимых)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«Реставрация – 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