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17.07.2020, оставленным без изменения постановлением Девятого арбитражного апелляционного суда от 25.09.2020, урегулированы разногласия по подпункту «б» пункта 16, подпункту «б» пункта 17 и пункту 30, в дополнении договора пунктами 32 и 33 отказано. 2 Арбитражный суд Московского округа постановлением от 26.01.2021 решение от 17.07.2020 и постановление Девятого арбитражного апелляционного суда от 25.09.2020 оставил без изменения. В кассационной жалобе общество просит об отмене судебных актов как незаконных вследствие установления экономического обоснования платы без проведения экспертизы и с отступлением от ее дифференцированного характера.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применены законные критерии установления платы за пользование железнодорожным путем необщего пользования в судебном истолковании, поэтому доводы заявителя не обосновывают незаконности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«Пигмент»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