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возражениями на требование Российского Союза Автостраховщиков (далее – кредитор) о включении в реестр требований кредиторов должника (далее – реестр) его требования в размере 897 510 050 рублей 97 копеек – основного долга, 2 751 728 рублей – основного долга. Определением Арбитражного суда города Москвы от 01.09.2020, оставленным без изменения постановлением Арбитражного суда Московского округа от 28.01.2021, возражения признаны необоснованными, а требование включено в третью очередь реестра.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100, 137, 142 Федерального закона от 26.10.2002 № 127-ФЗ «О несостоятельности (банкротстве)», пунктом 5 статьи 14.1 Федерального закона от 25.04.2020 № 40- ФЗ «Об обязательном страховании гражданской ответственности владельцев транспортных средств» и исходили из того, что для устранения возникших между сторонами разногласий кредитором и конкурсным управляющим проведена сверка обосновывающих требование документов, а само требование подтверждено документально, не является текущим и заявлено в установленный законом срок.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представителю учредителей (участников) общества с ограниченной ответственностью «Страховая компания «Диамант» Середкиной Юлии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