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09.06.2020, оставленным без изменения постановлением Восемнадцатого арбитражного апелляционного суда от 14.08.2020, иск удовлетворен. Арбитражный суд Уральского округа постановлением от 18.01.2021 решение от 09.06.2020 и постановление Восемнадцатого арбитражного апелляционного суда от 14.08.2020 оставил без изменения. В кассационной жалобе фонд просит об отмене судебных актов, ссылаясь на нарушение претензионного порядка урегулирования спора, предъявление иска по истечении срока поручительства и отсутствие доказательств невозможности удовлетворения требований за счет других обязанных лиц.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Вопросы досудебного порядка урегулирования спора не создают оснований для кассационного пересмотра судебных актов. Окружной суд установил, что в судах первой и апелляционной инстанций фонд не ссылался на прекращение поручительства, однако, обсудив этот довод, признал соблюдение срока обращения с иском к поручителю, предусмотренного пунктом 6 статьи 367 Гражданского кодекса Российской Федерации. Субсидиарный порядок предъявления требования также признан судами соблюденным.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Фонду развития предпринимательства Челябинской области – Территория бизнеса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