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21.09.2020, оставленным без изменения постановлением Десятого арбитражного апелляционного суда от 07.12.2020, иск удовлетворен. Арбитражный суд Московского округа постановлением от 19.02.2021 решение от 21.09.2020 и постановление Десятого арбитражного апелляционного суда от 07.12.2020 оставил без изменения. В кассационной жалобе общество «Темп» просит об отмене судебных актов, ссылаясь на отсутствие перерыва пропущенного срока исковой давности, неправильный расчет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Акты сверки расчетов признаны судами обстоятельствами, свидетельствующими о признании долга и сохраняющими обязательство по истечении срока исковой давности в соответствии со статьями 203, 206 Гражданского кодекса Российской Федерации. Довод, связанный с размером требований, не отвечает критериям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«Темп»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