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30.06.2020, оставленным без изменения постановлением Двадцать первого арбитражного апелляционного суда от 05.10.2020, прекращено производство по требованию о взыскании 124 005 рублей 64 копеек задолженности в связи с отказом от иска на эту сумму, в остальной части иск удовлетворен. 2 Арбитражный суд Центрального округа постановлением от 18.01.2021 решение от 30.06.2020 и постановление Двадцать первого арбитражного апелляционного суда от 05.10.2020 оставил без изменения. Общество «Ювас Брокер» просит об отмене судебных актов, ссылаясь на неверный расчет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Оспаривание размера требований в кассационной инстанции не отвечает критериям оснований для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«Ювас Брокер»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