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24.08.2020, оставленным без изменения постановлениями Одиннадцатого арбитражного апелляционного суда от 02.11.2020 и Арбитражного суда Поволжского округа от 01.02.2021, в удовлетворении заявления отказано. 2 В кассационной жалобе общество ставит вопрос об отмене принятых по делу судебных актов, ссылаясь на нарушение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учреждением (заказчик) принято решение от 27.12.2019 об одностороннем отказе от исполнения контракта, заключенного с обществом (подрядчик) на выполнение работ по замене герба на фасаде административного здания. Указанные обстоятельства послужили основанием для обращения заказчика в антимонопольный орган с заявлением о включении в реестр недобросовестных поставщиков сведений об обществе. По результатам рассмотрения представленных сведений управлением вынесено оспариваемое решение о включении сведений в отношении общества, учредителя и лица, имеющего право без доверенности действовать от имени юридического лица, в реестр недобросовестных поставщиков. Исследовав и оценив представленные в материалы дела доказательства, руководствуясь положениями статей 95, 104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Правилами ведения реестра недобросовестных поставщиков (подрядчиков, исполнителей), утвержденными постановлением Правительства Российской Федерации от 25.11.2013 № 1062, принимая во внимание обстоятельства, установленные по результатам рассмотрения дела № А72-3418/2020 Арбитражного суда Ульяновской области, суды пришли к выводу о том, что ненормативный правовой акт антимонопольного органа соответствует действующему законодательству и не нарушает права и законные интересы заявителя. Судебные инстанции исходили из наличия оснований для включения информации об обществе, учредителе и лице, имеющем право без доверенности действовать от имени юридического лица, в реестр недобросовестных поставщиков. При исследовании обстоятельств дела установлен факт ненадлежащего исполнения обществом условий контракта. 3 Доводы общества, изложенные в кассационной жалобе, повторяют позицию заявителя по спору, не опровергают выводы судов и направлены на переоценку установленных обстоятельств, не свидетельствуют о неправильном применении ими норм материального и процессуального права, повлиявшем на исход дела, в связи с чем не могут служить достаточным основанием для пересмотра судебных актов в кассационном порядке. Несогласие заявителя с выводами суда, иная оценка им фактических обстоятельств дела и иное применение к ним положений закона,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291.1,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«Инноватор»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