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22.07.2020, оставленным без изменения постановлениями Пятого арбитражного апелляционного суда от 12.10.2020 и Арбитражного суда Дальневосточного округа от 03.03.2021, в удовлетворении заявленных требований отказано. 2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первичной налоговой декларации общества по НДС за 4 квартал 2018 года инспекцией вынесены оспариваемые решения от 08.07.2019 № 49263/1 об отказе в привлечении к ответственности за совершение налогового правонарушения, согласно которому предложено уменьшить сумму налога, излишне заявленного к возмещению, в размере 12 452 006 рублей, № 49263/2 об отказе в возмещении частично суммы НДС в размере 12 452 006 рублей. Основанием для принятия решений послужил вывод налогового органа о необоснованном предъявлении обществом налоговых вычетов по взаимоотношениям с контрагентами - ООО «Востокрыбпром» и ПАО «Преображенская база тралового флота» по приобретению рыбопродукции за пределами территории Российской Федерации. Решением Управления Федеральной налоговой службы по Приморскому краю от 02.09.2019 № 13-09/32855, вынесенным по результатам рассмотрения жалобы налогоплательщика, решения инспекции оставлены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11, 38, 147, 172 Налогового кодекса Российской Федерации, Федерального закона от 17.12.1998 № 191-ФЗ «Об исключительной экономической зоне Российской Федерации», правовой позицией Конституционного Суда Российской Федерации, выраженной в определении от 29.09.2016 № 2024-О, суды пришли к выводу об отсутствии оснований для удовлетворения заявленных требований. Судебные инстанции исходили из того, что реализация контрагентами рыбопродукции обществу не образует объекта налогообложения НДС, поскольку рыбопродукция на момент начала отгрузки и транспортировки на территории Российской Федерации не находилась, товар на территории 3 Российской Федерации не приобретался, то есть, фактическая передача продукции происходила за пределами Российской Федерации. Учитывая изложенное, суды пришли к выводу о том, что у общества не возникло право на применение налогового вычета по НДС в отношении операций по приобретению товара, местом реализации которого территория Российской Федерации не признается.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в кассационной жалобе доводы основаны на ошибочном толковании положений законодательства, не подтверждают существенных нарушений норм материального и (или) норм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«Алитет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