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15.07.2020 в удовлетворении иска отказано. Девятый арбитражный апелляционный суд постановлением от 29.12.2020, рассмотрел дело по правилам для суда первой инстанции, принял отказ истца от иска к обществу «Да-Транс-М» и прекратил производство по делу в данной части, взыскал с акционерного общества «АльфаСтрахование» 10 945 000 рублей страхового возмещения. Арбитражный суд Московского округа постановлением от 11.03.2021 постановление Девятого арбитражного апелляционного суда от 29.12.2020 оставил без изменения. 2 В кассационной жалобе акционерное общество «АльфаСтрахование» просит об отмене судебных актов апелляционного и окружного судов, ссылаясь на неприменение франшизы, недоказанность истцом права собственности на утраченный груз,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размер страхового возмещения заявлен с учетом договорной франшизы. Право собственности на груз, основанное на договоре, установлено апелляционным судом и соответствует статье 930 Гражданского кодекса Российской Федерации. Обстоятельств, освобождающих от выплаты страхового возмещения не установлено. Действия окружного суда, которые заявитель считает процессуальными нарушениями, таковыми не являются и не влияют на судьбу судебных актов в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