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30.07.2020, оставленным без изменения постановлением Девятого арбитражного апелляционного суда от 29.10.2020, иск удовлетворен. Арбитражный суд Московского округа постановлением от 27.01.2021 решение от 30.07.2020 и постановление Девятого арбитражного апелляционного суда от 29.10.2020 оставил без изменения. В кассационной жалобе общество «Символ-строй» просит отменить судебные акты, ссылаясь на ненаступление срока возврата денежных средств и уплаты процентов, несоразмерность ответственности ненадлежащему исполнению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Удовлетворяя иск, суды руководствовались статьями 330, 395, 809, 811, 819 Гражданского кодекса Российской Федерации и установленным на основании доказательств, включающих заключения назначенных экспертиз, наступлением срока исполнения обязательства по возврату денежных средств и уплате процентов и обоснованностью его размера. Оценка экспертиз как доказательств отнесена к компетенции судов. Вопрос о соразмерности ответственности не обсуждался судами в отсутствие заявления об этом.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«Символ-строй»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