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города Москвы от 21.07.2020, оставленным без изменения постановлением Девятого арбитражного апелляционного суда от 28.09.2020, в удовлетворении иска отказано вследствие отсутствия страхового случая. Арбитражный суд Московского округа постановлением от 15.01.2021 решение от 21.07.2020 и постановление Девятого арбитражного апелляционного суда от 28.09.2020 оставил без изменения. В кассационной жалобе общество «Мираторг» просит об отмене судебных актов, ссылаясь на неправильное толкование условий страхования, игнорирование обстоятельств утраты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2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убытки возникли следствие неоплаты покупателем поставленного истцом товара, не попадающей под застрахованные в силу договора от 15.09.2018 № 1800С990Я2779 риски. Доводы жалобы опровергаются установленными обстоятельствами заявленного события. Руководствуясь статьями 291.6, 291.8,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«Мираторг»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