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04.06.2020, оставленным без изменения постановлением Семнадцатого арбитражного апелляционного суда от 07.09.2020 и постановлением Арбитражного суда Уральского округа от 13.01.2021, в удовлетворении первоначального и встречного исков отказано. В кассационной жалобе центр просит отменить судебные акты в части отказа в удовлетворении первоначального иска, ссылаясь на несоответствие их обстоятельствам дела и игнорирование недобросовестности заказчика.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оказание услуг на превышающую полученный аванс сумму центром не доказано, признали исполненной ответчиком обязанность по оплате фактически оказанных услуг. Заявленное центром требование об оплате незавершенной, не имеющей для заказчика ценности, услуги правомерно признано судами противоречащим статьям 779, 781 Гражданского кодекса Российской Федерации.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«Информационный центр – Авис»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