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19.10.2020 арбитражный управляющий привлечен к административной ответственности по части 3.1 статьи 14.13 Кодекса и ему назначено наказание в виде дисквалификации сроком на шесть месяцев. Постановлением Пятнадцатого арбитражного апелляционного суда от 29.12.2020 решение суда первой инстанции отменено, в удовлетворении 2 заявления отказано, арбитражный управляющий освобожден от ответственности в связи с малозначительностью правонарушения. Постановлением Арбитражного суда Северо-Кавказского округа от 04.03.2021 постановление суда апелляционной инстанции оставлено без изменения. Привлеченный к участию в деле в качестве третьего лица, не заявляющего самостоятельных требований относительно предмета спора, Буйленко В.В. (должник) обратился в Верховный Суд Российской Федерации с кассационной жалобой, в которой просит постановления апелляционного суда и суда округа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Пятнадцатый арбитражный апелляционный суд, руководствуясь положениями Федерального закона от 26.10.2002 № 127-ФЗ «О несостоятельности (банкротстве)», признав надлежащим образом доказанным состав вмененного правонарушения только по эпизоду указания неполных сведений в отчетах об использовании денежных средств должника, установил основания для применения статьи 2.9 Кодекса Российской Федерации об 3 административных правонарушениях и освобождения лица от ответственности в связи с малозначительностью правонарушения. Суд округа согласился с выводами апелляционного суда, указав, что наказание назначено с учетом всех обстоятельств дела и согласуется с предусмотренными статьей 3.1 Кодекса Российской Федерации об административных правонарушениях целями административного наказания. Несогласие с толкованием норм Кодекса Российской Федерации об административных правонарушениях и законодательства, подлежащих применению к спорным правоотношениям,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влечет необходимость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