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Семнадцатого арбитражного апелляционного суда от 18.02.2020 принятое по делу решение от 01.11.2019 отменено: первоначальные исковые требования удовлетворены, в удовлетворении встречного иска отказано. Определением Семнадцатого арбитражного суда от 10.12.2020, оставленным без изменения постановлением Арбитражного суда Уральского округа от 20.02.2021, заявления Щепина А.А. и Собяниной И.П. об отмене постановления от 18.02.2020 рассмотрены по правилам о пересмотре судебного акта по новым или вновь открывшимся обстоятельствам и в их удовлетворении отказано. 2 В кассационной жалобе заявители просят о пересмотре судебных актов, ссылаясь, что рассмотрение заявлений о пересмотре апелляционного постановления по правилам о новых и вновь открывшихся обстоятельствах привело к отсутствию надлежащей оценки довода о мнимости договора займа, в связи с исполнением которого возник спор.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юридической силы договора займа апелляционным судом дана независимо от примененного порядка рассмотрения заявлений исходя из приведенных заявителями доводов и обоснований.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Щепину Анатолию Алексеевичу и Собяниной Ирине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