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определении Верховного Суда Российской Федерации от 31.03.2021 № 306-ЭС21-2336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допущены опечатки при указании заявителя кассационной жалобы. Поскольку исправление указанных опечаток не влияет на существо принятого судебного акта, допущенные опечатки подлежат исправлению на основании части 3 статьи 179 Арбитражного процессуального кодекса Российской Федерации. Руководствуясь статьей 179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заменить в вводной части определения Верховного Суда Российской Федерации от 31.03.2021 № 306-ЭС21-2336 наименование заявителя кассационной жалобы на ФИО1 и ФИО2, в абзацах 3, 13 описательной и мотивировочной частях указанного определения вместо слов «общество просит» и «общества» читать «заявители просят» и «заявителей», соответственно. Судья Верховного Суда Д.В. ТютинРоссийской Федерации Суд: Верховный Суд РФ (подробнее) Истцы: ГУ Самарское региональное отделение Фонда социального страхования Российской Федерации в лице филиала №20 (подробнее) Ответчики: АО "Сызранский нефтеперерабатывающий завод" (подробнее) Последние документы по делу: Определение от 17 мая 2021 г. по делу № А55-35015/2019 Определение от 12 мая 2021 г. по делу № А55-35015/2019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