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05.05.2021 обратился в Верховный Суд Российской Федерации с жалобой на определение судьи Верховного Суда Российской Федерации от 18.03.2021 № 306-ЭС21-1788, решение Арбитражного суда Волгоградской области от 08.06.2020, постановление Двенадцатого арбитражного апелляционного суда от 14.08.2020 и постановление Арбитражного суда Поволжского округа от 30.11.2020 по делу № А12-45652/2019, заявив при этом ходатайство о восстановлении пропущенного процессуального срока. 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05.02.2007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Причины пропуска рассматриваемого срока, приведенные заявителем, к числу уважительных не относятся.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ФИО1 о восстановлении пропущенного процессуального срока отказать. Жалобу возвратить заявителю.Судья Верховного Суда Российской Федерации М.К.Антонова Суд: Верховный Суд РФ (подробнее) Ответчики: Межрайонная инспекция Федеральной налоговой службы №5 по Волгоградской области (подробнее) Иные лица: Арбитражный суд Волгоградской области (подробнее) Арбитражный суд Поволжского округа (подробнее) УФНС России по Волгоградской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