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07.07.2020, оставленным без изменения в обжалованной части постановлением Первого арбитражного апелляционного суда от 25.09.2020 и постановлением Арбитражного суда Волго-Вятского округа от 19.01.2021, требование первоначального иска о расторжении договора поставки оставлено без рассмотрения, в удовлетворении остальной части первоначального иска и во встречном иске отказано. В кассационной жалобе общество «Агроальянс» просит об отмене судебных актов в части отказа в удовлетворении первоначального иска, ссылаясь на несоответствие поставленного товара договору и неосновательное неназначение экспертизы в подтверждение этого обстоятельства.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и оценив представленные доказательства, суды установили несоблюдение истцом порядка приемки товара, повлекшее недоказанность возражений в отношении несоответствия количества и качества товара договору и признание в силу статей 469, 474, 475, 506 Гражданского кодекса Российской Федерации необоснованность требований первоначального иска. Вопросы доказывания и оценки доказательств, на которых основаны доводы жалобы,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