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24.09.2020, оставленным без изменения постановлением Девятого арбитражного апелляционного суда от 19.11.2020, арбитражный управляющий привлечен к административной ответственности по части 3 статьи 14.13 Кодекса Российской Федерации об 2 административных правонарушениях и ему назначено наказание в виде предупреждения. Постановлением Арбитражного суда Московского округа от 09.03.2021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отменить принятые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факт несоблюдения арбитражным управляющим требований пунктов 1, 2 статьи 128 и пункта 10 статьи 110 Федерального закона от 26.10.2002 №127-ФЗ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в действиях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об отсутствии оснований для квалификации правонарушения в качестве малозначительного не подлежат переоценке на стадии кассационного обжалования. 3 Доводов о том, что дело об административном правонарушении возбуждено должностным лицом, уполномоченным составлять протоколы об административных правонарушениях, в отсутствие поводов, предусмотренных пунктом 1.1 статьи 28.1 Кодекса Российской Федерации об административных правонарушениях, и достаточных данных, указывающих на наличие события административного правонарушения,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