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22.07.2020, оставленным без изменения постановлением Девятого арбитражного апелляционного суда от 26.10.2020 и постановлением Арбитражного суда Московского округа от 02.02.2021, иск удовлетворен частично. В кассационной жалобе общество «Европласт» просит отменить судебные акты, ссылаясь на неисполнение истцом обязанности по представлению оригиналов документов, на основании которых должна производиться оплата услуг, и неистербование их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330, 785 Гражданского кодекса Российской Федерации, суды удовлетворили иск по установленным обстоятельствам оказания истцом услуг в рамках договора транспортной экспедиции от 23.10.2019 № 23-10/2019 и неоплаты их ответчиком. Факт оказания услуг не опровергается ответчиком, поэтому его возражения о недоказанности исполнения подлинными документами не принят судами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«Европласт»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