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«Ледтехмонтаж» (далее – Общество) обратилось в Арбитражный суд Московской области с заявлением к администрации Пушкинского городского округа (далее – Администрация) о признании незаконными действий по демонтажу 01.05.2020 рекламной конструкции, расположенной по адресу: Московская обл., Пушкинский р-н, п. Лесной, ул. Шоссейная, д. 1. Решением Арбитражного суда Московской области от 12.08.2020, оставленным без изменения постановлением Десятого арбитражного апелляционного суда от 20.10.2020 и постановлением Арбитражного суда Московского округа от 04.02.2021,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настаивает на незаконности действий Администрации, ссылаясь на то, что спорная рекламная конструкция, включенная в соответствующую схему размещения, была установлена и 2 эксплуатировалась на основании договора аренды земельного участка, при наличии действующего разрешения.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спорная рекламная конструкция, принадлежащая Обществу, установлена и эксплуатировалась на основании договора № 1/РК на установку и эксплуатацию рекламной конструкции от 07.02.2018, заключенного с собственником земельного участка – Присекиным В.В., и разрешения на установку рекламной (информационной) конструкции на территории Пушкинского муниципального района Московской области от 27.02.2018 N 6456, действующего до 27.02.2028. По инициативе Администрации 01.05.2020 рекламная конструкция демонтирована. Полагая, что действия Администрации по демонтажу являются незаконными,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19 Федерального закона от 13.03.2006 № 38-ФЗ «О рекламе», суды отказали в удовлетворении требований, признав законными действия Администрации по демонтажу рекламной конструкции. Принимая обжалуемые акты, судебные инстанции исходили из того, что разрешением от 27.02.2018 № 6456 Обществу предоставлено право на размещение рекламной конструкции – светодиодного экрана, тогда как фактически была установлена рекламная конструкция иного типа. Рекламная конструкция демонтирована Администрацией в связи с неисполнением соответствующего предписания от 30.03.2020 № 85, которое не было получено Обществом в связи с допущенной технической ошибкой при направлении корреспонденции адрес Общества. Несоблюдение порядка направления предписаний о демонтаже влечет невозможность возложения на Общество расходов Администрации по демонтажу.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3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«Ледтехмонтаж»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